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DC833" w14:textId="77777777" w:rsidR="00D1024F" w:rsidRPr="008658F2" w:rsidRDefault="00D1024F" w:rsidP="00D1024F">
      <w:pPr>
        <w:widowControl w:val="0"/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bCs/>
          <w:color w:val="000000" w:themeColor="text1"/>
          <w:sz w:val="28"/>
          <w:szCs w:val="20"/>
        </w:rPr>
      </w:pPr>
      <w:r w:rsidRPr="008658F2">
        <w:rPr>
          <w:rFonts w:ascii="Arial" w:hAnsi="Arial" w:cs="Arial"/>
          <w:b/>
          <w:bCs/>
          <w:color w:val="000000" w:themeColor="text1"/>
          <w:sz w:val="28"/>
          <w:szCs w:val="20"/>
        </w:rPr>
        <w:t>HDPE - High Density Polyethylene</w:t>
      </w:r>
    </w:p>
    <w:p w14:paraId="59860672" w14:textId="77777777" w:rsidR="008658F2" w:rsidRPr="008658F2" w:rsidRDefault="008658F2" w:rsidP="00D1024F">
      <w:pPr>
        <w:widowControl w:val="0"/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5B22CEB" w14:textId="77777777" w:rsidR="00D1024F" w:rsidRPr="008658F2" w:rsidRDefault="00D1024F" w:rsidP="00D1024F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color w:val="000000" w:themeColor="text1"/>
          <w:sz w:val="20"/>
          <w:szCs w:val="20"/>
        </w:rPr>
      </w:pPr>
      <w:r w:rsidRPr="00D1024F">
        <w:rPr>
          <w:rFonts w:ascii="Arial" w:hAnsi="Arial" w:cs="Arial"/>
          <w:color w:val="000000" w:themeColor="text1"/>
          <w:sz w:val="20"/>
          <w:szCs w:val="20"/>
        </w:rPr>
        <w:t>High Density Polyethylene (HDPE) is manufactured from the semi-crystalline polyethylene (PE</w:t>
      </w:r>
      <w:r w:rsidRPr="008658F2">
        <w:rPr>
          <w:rFonts w:ascii="Arial" w:hAnsi="Arial" w:cs="Arial"/>
          <w:color w:val="000000" w:themeColor="text1"/>
          <w:sz w:val="20"/>
          <w:szCs w:val="20"/>
        </w:rPr>
        <w:t>) family. HDPE is available in various grades depending on the application requirements.</w:t>
      </w:r>
    </w:p>
    <w:p w14:paraId="1F71DD42" w14:textId="77777777" w:rsidR="00D1024F" w:rsidRPr="008658F2" w:rsidRDefault="008658F2" w:rsidP="00D1024F">
      <w:pPr>
        <w:widowControl w:val="0"/>
        <w:pBdr>
          <w:bottom w:val="single" w:sz="6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 w:themeColor="text1"/>
          <w:sz w:val="20"/>
          <w:szCs w:val="20"/>
        </w:rPr>
      </w:pPr>
      <w:r w:rsidRPr="008658F2">
        <w:rPr>
          <w:rFonts w:ascii="Arial" w:hAnsi="Arial" w:cs="Arial"/>
          <w:color w:val="000000" w:themeColor="text1"/>
          <w:sz w:val="20"/>
          <w:szCs w:val="20"/>
        </w:rPr>
        <w:t>HDPE Grades available are Polystone PG100 and Polystone 300.</w:t>
      </w:r>
    </w:p>
    <w:p w14:paraId="6E41F50E" w14:textId="77777777" w:rsidR="008658F2" w:rsidRPr="00D1024F" w:rsidRDefault="008658F2" w:rsidP="00D102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Arial" w:hAnsi="Arial" w:cs="Arial"/>
          <w:color w:val="000000" w:themeColor="text1"/>
          <w:sz w:val="20"/>
          <w:szCs w:val="20"/>
        </w:rPr>
      </w:pPr>
    </w:p>
    <w:p w14:paraId="7363103F" w14:textId="77777777" w:rsidR="00D1024F" w:rsidRPr="008658F2" w:rsidRDefault="00D1024F" w:rsidP="008658F2">
      <w:pPr>
        <w:spacing w:after="2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</w:pPr>
      <w:r w:rsidRPr="008658F2"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  <w:t>Polystone PG100</w:t>
      </w:r>
    </w:p>
    <w:p w14:paraId="3A732BF6" w14:textId="77777777" w:rsidR="008658F2" w:rsidRPr="00D1024F" w:rsidRDefault="008658F2" w:rsidP="008658F2">
      <w:pPr>
        <w:spacing w:after="20"/>
        <w:textAlignment w:val="baseline"/>
        <w:rPr>
          <w:rFonts w:ascii="Arial" w:hAnsi="Arial" w:cs="Arial"/>
          <w:bCs/>
          <w:color w:val="000000" w:themeColor="text1"/>
          <w:sz w:val="20"/>
          <w:szCs w:val="20"/>
          <w:lang w:val="en-AU"/>
        </w:rPr>
      </w:pPr>
    </w:p>
    <w:p w14:paraId="6F6A4592" w14:textId="77777777" w:rsidR="00D1024F" w:rsidRPr="00D1024F" w:rsidRDefault="00D1024F" w:rsidP="00D1024F">
      <w:pPr>
        <w:spacing w:after="20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Polystone PG100 </w:t>
      </w:r>
      <w:hyperlink r:id="rId6" w:history="1">
        <w:r w:rsidRPr="00D1024F">
          <w:rPr>
            <w:rFonts w:ascii="Arial" w:hAnsi="Arial" w:cs="Arial"/>
            <w:color w:val="000000" w:themeColor="text1"/>
            <w:sz w:val="20"/>
            <w:szCs w:val="20"/>
            <w:lang w:val="en-AU"/>
          </w:rPr>
          <w:t>HDPE</w:t>
        </w:r>
      </w:hyperlink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 sheet is a PE100 pipe grade HDPE sheet exhibiting outstanding properties that deliver tangible benefits to the fabrication industry through the </w:t>
      </w:r>
      <w:proofErr w:type="spellStart"/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degauging</w:t>
      </w:r>
      <w:proofErr w:type="spellEnd"/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 of HDPE sheet materials, improved chemical resistance &amp; environmental stress crack resistance over PE80 HDPE sheets.</w:t>
      </w:r>
    </w:p>
    <w:p w14:paraId="5AFBDDA3" w14:textId="77777777" w:rsidR="00D1024F" w:rsidRPr="00D1024F" w:rsidRDefault="00D1024F" w:rsidP="00D1024F">
      <w:pPr>
        <w:spacing w:after="20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Polystone PG100 sheet (Pipe Grade) is approved for chemical engineering and tank building and meets the strict requirements set for pipe-grade HDPE sheet. Offering peace of mind in terms of performance and safety, Polystone PG100 is the logical choice.</w:t>
      </w:r>
    </w:p>
    <w:p w14:paraId="0B7289C3" w14:textId="77777777" w:rsidR="00D1024F" w:rsidRPr="00D1024F" w:rsidRDefault="00D1024F" w:rsidP="00D1024F">
      <w:pPr>
        <w:spacing w:after="20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u w:val="single"/>
          <w:lang w:val="en-AU"/>
        </w:rPr>
        <w:t>Key Benefits:</w:t>
      </w:r>
    </w:p>
    <w:p w14:paraId="441BC59F" w14:textId="77777777" w:rsidR="00D1024F" w:rsidRPr="00D1024F" w:rsidRDefault="00D1024F" w:rsidP="00D1024F">
      <w:pPr>
        <w:numPr>
          <w:ilvl w:val="0"/>
          <w:numId w:val="6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100% weld integrity with PE100 pipe</w:t>
      </w:r>
    </w:p>
    <w:p w14:paraId="78793F0C" w14:textId="77777777" w:rsidR="00D1024F" w:rsidRPr="00D1024F" w:rsidRDefault="00D1024F" w:rsidP="00D1024F">
      <w:pPr>
        <w:numPr>
          <w:ilvl w:val="0"/>
          <w:numId w:val="6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Superior, long term material strength</w:t>
      </w:r>
    </w:p>
    <w:p w14:paraId="5E74AAD7" w14:textId="77777777" w:rsidR="00D1024F" w:rsidRPr="00D1024F" w:rsidRDefault="00D1024F" w:rsidP="00D1024F">
      <w:pPr>
        <w:numPr>
          <w:ilvl w:val="0"/>
          <w:numId w:val="6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Exceptional weld strength</w:t>
      </w:r>
    </w:p>
    <w:p w14:paraId="3CCAE122" w14:textId="77777777" w:rsidR="00D1024F" w:rsidRPr="00D1024F" w:rsidRDefault="00D1024F" w:rsidP="00D1024F">
      <w:pPr>
        <w:numPr>
          <w:ilvl w:val="0"/>
          <w:numId w:val="6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proofErr w:type="spellStart"/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Degauge</w:t>
      </w:r>
      <w:proofErr w:type="spellEnd"/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 material from PE80 and standard HDPE</w:t>
      </w:r>
    </w:p>
    <w:p w14:paraId="4E2BA5D3" w14:textId="77777777" w:rsidR="00D1024F" w:rsidRPr="00D1024F" w:rsidRDefault="00D1024F" w:rsidP="00D1024F">
      <w:pPr>
        <w:numPr>
          <w:ilvl w:val="0"/>
          <w:numId w:val="6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Construction of higher tanks</w:t>
      </w:r>
    </w:p>
    <w:p w14:paraId="7B856CA3" w14:textId="77777777" w:rsidR="00D1024F" w:rsidRPr="00D1024F" w:rsidRDefault="00D1024F" w:rsidP="00D1024F">
      <w:pPr>
        <w:numPr>
          <w:ilvl w:val="0"/>
          <w:numId w:val="6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Superior acid resistance</w:t>
      </w:r>
    </w:p>
    <w:p w14:paraId="48A59303" w14:textId="77777777" w:rsidR="00D1024F" w:rsidRPr="00D1024F" w:rsidRDefault="00D1024F" w:rsidP="00D1024F">
      <w:pPr>
        <w:numPr>
          <w:ilvl w:val="0"/>
          <w:numId w:val="6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Improved environmental stress cracking resistance – up to 100 times better than standard HDPE sheets</w:t>
      </w:r>
    </w:p>
    <w:p w14:paraId="1305C637" w14:textId="77777777" w:rsidR="00D1024F" w:rsidRPr="00D1024F" w:rsidRDefault="00D1024F" w:rsidP="00D1024F">
      <w:pPr>
        <w:numPr>
          <w:ilvl w:val="0"/>
          <w:numId w:val="6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Shorter welding times and easier bending of thinner sheets</w:t>
      </w:r>
    </w:p>
    <w:p w14:paraId="5F91E393" w14:textId="77777777" w:rsidR="00D1024F" w:rsidRPr="00D1024F" w:rsidRDefault="00D1024F" w:rsidP="00D1024F">
      <w:pPr>
        <w:numPr>
          <w:ilvl w:val="0"/>
          <w:numId w:val="6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Weatherproof with exceptional UV stability</w:t>
      </w:r>
    </w:p>
    <w:p w14:paraId="7AD4760F" w14:textId="77777777" w:rsidR="00D1024F" w:rsidRPr="00D1024F" w:rsidRDefault="00D1024F" w:rsidP="00D1024F">
      <w:pPr>
        <w:spacing w:after="20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u w:val="single"/>
          <w:lang w:val="en-AU"/>
        </w:rPr>
        <w:t>Applications:</w:t>
      </w:r>
    </w:p>
    <w:p w14:paraId="43C220B9" w14:textId="77777777" w:rsidR="00D1024F" w:rsidRPr="00D1024F" w:rsidRDefault="00D1024F" w:rsidP="00D1024F">
      <w:pPr>
        <w:numPr>
          <w:ilvl w:val="0"/>
          <w:numId w:val="7"/>
        </w:numPr>
        <w:spacing w:after="20"/>
        <w:textAlignment w:val="baseline"/>
        <w:rPr>
          <w:rFonts w:ascii="Arial" w:hAnsi="Arial" w:cs="Arial"/>
          <w:bCs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Tanks</w:t>
      </w:r>
    </w:p>
    <w:p w14:paraId="096E3C0B" w14:textId="77777777" w:rsidR="00D1024F" w:rsidRPr="00D1024F" w:rsidRDefault="00D1024F" w:rsidP="00D1024F">
      <w:pPr>
        <w:numPr>
          <w:ilvl w:val="0"/>
          <w:numId w:val="7"/>
        </w:numPr>
        <w:spacing w:after="20"/>
        <w:textAlignment w:val="baseline"/>
        <w:rPr>
          <w:rFonts w:ascii="Arial" w:hAnsi="Arial" w:cs="Arial"/>
          <w:bCs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Vessels</w:t>
      </w:r>
    </w:p>
    <w:p w14:paraId="65021583" w14:textId="77777777" w:rsidR="00D1024F" w:rsidRPr="00D1024F" w:rsidRDefault="00D1024F" w:rsidP="00D1024F">
      <w:pPr>
        <w:numPr>
          <w:ilvl w:val="0"/>
          <w:numId w:val="7"/>
        </w:numPr>
        <w:spacing w:after="20"/>
        <w:textAlignment w:val="baseline"/>
        <w:rPr>
          <w:rFonts w:ascii="Arial" w:hAnsi="Arial" w:cs="Arial"/>
          <w:bCs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Flanges</w:t>
      </w:r>
    </w:p>
    <w:p w14:paraId="1C00202E" w14:textId="77777777" w:rsidR="00D1024F" w:rsidRPr="00D1024F" w:rsidRDefault="00D1024F" w:rsidP="00D1024F">
      <w:pPr>
        <w:numPr>
          <w:ilvl w:val="0"/>
          <w:numId w:val="7"/>
        </w:numPr>
        <w:spacing w:after="20"/>
        <w:textAlignment w:val="baseline"/>
        <w:rPr>
          <w:rFonts w:ascii="Arial" w:hAnsi="Arial" w:cs="Arial"/>
          <w:bCs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Waste water parts </w:t>
      </w:r>
    </w:p>
    <w:p w14:paraId="4BDF332B" w14:textId="77777777" w:rsidR="00D1024F" w:rsidRPr="00D1024F" w:rsidRDefault="00D1024F" w:rsidP="00D1024F">
      <w:pPr>
        <w:numPr>
          <w:ilvl w:val="0"/>
          <w:numId w:val="7"/>
        </w:numPr>
        <w:spacing w:after="20"/>
        <w:textAlignment w:val="baseline"/>
        <w:rPr>
          <w:rFonts w:ascii="Arial" w:hAnsi="Arial" w:cs="Arial"/>
          <w:bCs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Pipe fittings</w:t>
      </w:r>
    </w:p>
    <w:p w14:paraId="4CBAC3C6" w14:textId="77777777" w:rsidR="00D1024F" w:rsidRPr="008658F2" w:rsidRDefault="00D1024F" w:rsidP="00D1024F">
      <w:pPr>
        <w:numPr>
          <w:ilvl w:val="0"/>
          <w:numId w:val="7"/>
        </w:numPr>
        <w:pBdr>
          <w:bottom w:val="single" w:sz="6" w:space="1" w:color="auto"/>
        </w:pBdr>
        <w:spacing w:after="20"/>
        <w:textAlignment w:val="baseline"/>
        <w:rPr>
          <w:rFonts w:ascii="Arial" w:hAnsi="Arial" w:cs="Arial"/>
          <w:bCs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Pit covers</w:t>
      </w:r>
    </w:p>
    <w:p w14:paraId="33F563E3" w14:textId="77777777" w:rsidR="008658F2" w:rsidRPr="00D1024F" w:rsidRDefault="008658F2" w:rsidP="008658F2">
      <w:pPr>
        <w:spacing w:after="20"/>
        <w:textAlignment w:val="baseline"/>
        <w:rPr>
          <w:rFonts w:ascii="Arial" w:hAnsi="Arial" w:cs="Arial"/>
          <w:bCs/>
          <w:color w:val="000000" w:themeColor="text1"/>
          <w:sz w:val="20"/>
          <w:szCs w:val="20"/>
          <w:lang w:val="en-AU"/>
        </w:rPr>
      </w:pPr>
    </w:p>
    <w:p w14:paraId="6805D6F3" w14:textId="77777777" w:rsidR="00D1024F" w:rsidRPr="008658F2" w:rsidRDefault="00D1024F" w:rsidP="008658F2">
      <w:pPr>
        <w:spacing w:after="20"/>
        <w:textAlignment w:val="baseline"/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</w:pPr>
      <w:r w:rsidRPr="008658F2"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  <w:t>Polystone 300</w:t>
      </w:r>
    </w:p>
    <w:p w14:paraId="4314202A" w14:textId="77777777" w:rsidR="008658F2" w:rsidRPr="00D1024F" w:rsidRDefault="008658F2" w:rsidP="008658F2">
      <w:pPr>
        <w:spacing w:after="20"/>
        <w:textAlignment w:val="baseline"/>
        <w:rPr>
          <w:rFonts w:ascii="Arial" w:hAnsi="Arial" w:cs="Arial"/>
          <w:bCs/>
          <w:color w:val="000000" w:themeColor="text1"/>
          <w:sz w:val="20"/>
          <w:szCs w:val="20"/>
          <w:lang w:val="en-AU"/>
        </w:rPr>
      </w:pPr>
    </w:p>
    <w:p w14:paraId="7622B6B5" w14:textId="77777777" w:rsidR="00D1024F" w:rsidRPr="00D1024F" w:rsidRDefault="00D1024F" w:rsidP="008658F2">
      <w:pPr>
        <w:spacing w:after="20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Polystone 300 </w:t>
      </w:r>
      <w:hyperlink r:id="rId7" w:history="1">
        <w:r w:rsidRPr="00D1024F">
          <w:rPr>
            <w:rFonts w:ascii="Arial" w:hAnsi="Arial" w:cs="Arial"/>
            <w:color w:val="000000" w:themeColor="text1"/>
            <w:sz w:val="20"/>
            <w:szCs w:val="20"/>
            <w:lang w:val="en-AU"/>
          </w:rPr>
          <w:t>HDPE</w:t>
        </w:r>
      </w:hyperlink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 sheets and weld rod are manufactured in accordance with PE80 guidelines. Polystone 300 HDPE sheets are a rigid material available in large sheets sizes and varying colours such as black, natural and safety yellow. Polystone 300 is ideal for general use in plant engineering, tank construction and </w:t>
      </w:r>
      <w:proofErr w:type="gramStart"/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waste water</w:t>
      </w:r>
      <w:proofErr w:type="gramEnd"/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 industry, where all round chemical resistance and </w:t>
      </w:r>
      <w:proofErr w:type="spellStart"/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weatherability</w:t>
      </w:r>
      <w:proofErr w:type="spellEnd"/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 xml:space="preserve"> are required. Polystone 300 HDPE rod is available in a vast arrange of diameters in natural and black.</w:t>
      </w:r>
    </w:p>
    <w:p w14:paraId="2CC83A96" w14:textId="77777777" w:rsidR="00D1024F" w:rsidRPr="00D1024F" w:rsidRDefault="00D1024F" w:rsidP="00D1024F">
      <w:pPr>
        <w:spacing w:after="20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u w:val="single"/>
          <w:lang w:val="en-AU"/>
        </w:rPr>
        <w:t>Key Benefits:</w:t>
      </w:r>
    </w:p>
    <w:p w14:paraId="187C57A6" w14:textId="77777777" w:rsidR="00D1024F" w:rsidRPr="00D1024F" w:rsidRDefault="00D1024F" w:rsidP="00D1024F">
      <w:pPr>
        <w:numPr>
          <w:ilvl w:val="0"/>
          <w:numId w:val="9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Weldable/Bendable - suitable for fabrication</w:t>
      </w:r>
    </w:p>
    <w:p w14:paraId="753B35E5" w14:textId="77777777" w:rsidR="00D1024F" w:rsidRPr="00D1024F" w:rsidRDefault="00D1024F" w:rsidP="00D1024F">
      <w:pPr>
        <w:numPr>
          <w:ilvl w:val="0"/>
          <w:numId w:val="9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UV Resistant - Black only</w:t>
      </w:r>
    </w:p>
    <w:p w14:paraId="7B8F940A" w14:textId="77777777" w:rsidR="00D1024F" w:rsidRPr="00D1024F" w:rsidRDefault="00D1024F" w:rsidP="00D1024F">
      <w:pPr>
        <w:numPr>
          <w:ilvl w:val="0"/>
          <w:numId w:val="9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Physiologically inert - approved for food applications (Natural only)</w:t>
      </w:r>
    </w:p>
    <w:p w14:paraId="4E2F3B98" w14:textId="77777777" w:rsidR="00D1024F" w:rsidRPr="00D1024F" w:rsidRDefault="00D1024F" w:rsidP="00D1024F">
      <w:pPr>
        <w:numPr>
          <w:ilvl w:val="0"/>
          <w:numId w:val="9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Electrical insulation - it is a good insulator</w:t>
      </w:r>
    </w:p>
    <w:p w14:paraId="050E08B8" w14:textId="77777777" w:rsidR="00D1024F" w:rsidRPr="00D1024F" w:rsidRDefault="00D1024F" w:rsidP="00D1024F">
      <w:pPr>
        <w:numPr>
          <w:ilvl w:val="0"/>
          <w:numId w:val="9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Weatherproof - it doesn't absorb water</w:t>
      </w:r>
    </w:p>
    <w:p w14:paraId="06712DCD" w14:textId="77777777" w:rsidR="00D1024F" w:rsidRPr="00D1024F" w:rsidRDefault="00D1024F" w:rsidP="00D1024F">
      <w:pPr>
        <w:numPr>
          <w:ilvl w:val="0"/>
          <w:numId w:val="9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Chemical resistance - resists corrosive chemicals (e.g. Sulphuric Acid, Caustic Soda)</w:t>
      </w:r>
    </w:p>
    <w:p w14:paraId="3EF6B25E" w14:textId="77777777" w:rsidR="00D1024F" w:rsidRPr="00D1024F" w:rsidRDefault="00D1024F" w:rsidP="00D1024F">
      <w:pPr>
        <w:spacing w:after="20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u w:val="single"/>
          <w:lang w:val="en-AU"/>
        </w:rPr>
        <w:t>Applications:</w:t>
      </w:r>
    </w:p>
    <w:p w14:paraId="19259006" w14:textId="77777777" w:rsidR="00D1024F" w:rsidRPr="00D1024F" w:rsidRDefault="00D1024F" w:rsidP="00D1024F">
      <w:pPr>
        <w:numPr>
          <w:ilvl w:val="0"/>
          <w:numId w:val="10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Tanks</w:t>
      </w:r>
    </w:p>
    <w:p w14:paraId="511301C8" w14:textId="77777777" w:rsidR="00D1024F" w:rsidRPr="00D1024F" w:rsidRDefault="00D1024F" w:rsidP="00D1024F">
      <w:pPr>
        <w:numPr>
          <w:ilvl w:val="0"/>
          <w:numId w:val="10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Storage Vessels</w:t>
      </w:r>
    </w:p>
    <w:p w14:paraId="61383A0F" w14:textId="77777777" w:rsidR="00D1024F" w:rsidRPr="00D1024F" w:rsidRDefault="00D1024F" w:rsidP="00D1024F">
      <w:pPr>
        <w:numPr>
          <w:ilvl w:val="0"/>
          <w:numId w:val="10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Waste Water Chemical Process Industry</w:t>
      </w:r>
    </w:p>
    <w:p w14:paraId="45183A93" w14:textId="77777777" w:rsidR="00D1024F" w:rsidRPr="00D1024F" w:rsidRDefault="00D1024F" w:rsidP="00D1024F">
      <w:pPr>
        <w:numPr>
          <w:ilvl w:val="0"/>
          <w:numId w:val="11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t>Cutting Boards</w:t>
      </w:r>
    </w:p>
    <w:p w14:paraId="4D8BED2C" w14:textId="77777777" w:rsidR="00D1024F" w:rsidRPr="00D1024F" w:rsidRDefault="00D1024F" w:rsidP="00D1024F">
      <w:pPr>
        <w:numPr>
          <w:ilvl w:val="0"/>
          <w:numId w:val="11"/>
        </w:numPr>
        <w:spacing w:after="20"/>
        <w:ind w:left="360"/>
        <w:textAlignment w:val="baseline"/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D1024F">
        <w:rPr>
          <w:rFonts w:ascii="Arial" w:hAnsi="Arial" w:cs="Arial"/>
          <w:color w:val="000000" w:themeColor="text1"/>
          <w:sz w:val="20"/>
          <w:szCs w:val="20"/>
          <w:lang w:val="en-AU"/>
        </w:rPr>
        <w:lastRenderedPageBreak/>
        <w:t>Butchers Preparation Table</w:t>
      </w:r>
    </w:p>
    <w:p w14:paraId="0C168DAD" w14:textId="77777777" w:rsidR="00D1024F" w:rsidRPr="00D1024F" w:rsidRDefault="00D1024F" w:rsidP="00D1024F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845CD69" w14:textId="77777777" w:rsidR="00D1024F" w:rsidRPr="00D1024F" w:rsidRDefault="00D1024F" w:rsidP="00D1024F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8E60B64" w14:textId="77777777" w:rsidR="00D1024F" w:rsidRPr="008658F2" w:rsidRDefault="00D1024F" w:rsidP="00D1024F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658F2">
        <w:rPr>
          <w:rFonts w:ascii="Arial" w:hAnsi="Arial" w:cs="Arial"/>
          <w:b/>
          <w:bCs/>
          <w:color w:val="000000" w:themeColor="text1"/>
          <w:sz w:val="20"/>
          <w:szCs w:val="20"/>
        </w:rPr>
        <w:t>Related Industries:</w:t>
      </w:r>
    </w:p>
    <w:p w14:paraId="7C4FB16C" w14:textId="77777777" w:rsidR="003D2AE3" w:rsidRPr="00D1024F" w:rsidRDefault="00D1024F" w:rsidP="00D1024F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1024F">
        <w:rPr>
          <w:rFonts w:ascii="Arial" w:hAnsi="Arial" w:cs="Arial"/>
          <w:color w:val="000000" w:themeColor="text1"/>
          <w:sz w:val="20"/>
          <w:szCs w:val="20"/>
        </w:rPr>
        <w:t>Food-Beverage-Packaging</w:t>
      </w:r>
    </w:p>
    <w:p w14:paraId="185681FC" w14:textId="77777777" w:rsidR="00D1024F" w:rsidRPr="00D1024F" w:rsidRDefault="00D1024F" w:rsidP="00D1024F">
      <w:pPr>
        <w:spacing w:after="20"/>
        <w:rPr>
          <w:rFonts w:ascii="Arial" w:hAnsi="Arial" w:cs="Arial"/>
          <w:color w:val="000000" w:themeColor="text1"/>
          <w:sz w:val="20"/>
          <w:szCs w:val="20"/>
        </w:rPr>
      </w:pPr>
      <w:r w:rsidRPr="00D1024F">
        <w:rPr>
          <w:rFonts w:ascii="Arial" w:hAnsi="Arial" w:cs="Arial"/>
          <w:color w:val="000000" w:themeColor="text1"/>
          <w:sz w:val="20"/>
          <w:szCs w:val="20"/>
        </w:rPr>
        <w:t>High Performance</w:t>
      </w:r>
    </w:p>
    <w:p w14:paraId="49C55CDD" w14:textId="77777777" w:rsidR="00D1024F" w:rsidRDefault="00D1024F" w:rsidP="00D1024F">
      <w:pPr>
        <w:spacing w:after="20"/>
        <w:rPr>
          <w:rFonts w:ascii="Arial" w:hAnsi="Arial" w:cs="Arial"/>
          <w:color w:val="000000" w:themeColor="text1"/>
          <w:sz w:val="20"/>
          <w:szCs w:val="20"/>
        </w:rPr>
      </w:pPr>
      <w:r w:rsidRPr="00D1024F">
        <w:rPr>
          <w:rFonts w:ascii="Arial" w:hAnsi="Arial" w:cs="Arial"/>
          <w:color w:val="000000" w:themeColor="text1"/>
          <w:sz w:val="20"/>
          <w:szCs w:val="20"/>
        </w:rPr>
        <w:t>Waste Water</w:t>
      </w:r>
    </w:p>
    <w:p w14:paraId="33886C98" w14:textId="77777777" w:rsidR="009E5A7B" w:rsidRDefault="009E5A7B" w:rsidP="00D1024F">
      <w:pPr>
        <w:spacing w:after="2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ColorfulList"/>
        <w:tblW w:w="0" w:type="auto"/>
        <w:tblLook w:val="04A0" w:firstRow="1" w:lastRow="0" w:firstColumn="1" w:lastColumn="0" w:noHBand="0" w:noVBand="1"/>
      </w:tblPr>
      <w:tblGrid>
        <w:gridCol w:w="2179"/>
        <w:gridCol w:w="2223"/>
        <w:gridCol w:w="2199"/>
        <w:gridCol w:w="1915"/>
      </w:tblGrid>
      <w:tr w:rsidR="005C0E0F" w14:paraId="5F0E8EED" w14:textId="77777777" w:rsidTr="005C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  <w:shd w:val="clear" w:color="auto" w:fill="A6A6A6" w:themeFill="background1" w:themeFillShade="A6"/>
          </w:tcPr>
          <w:p w14:paraId="13BAC2B0" w14:textId="77777777" w:rsidR="009E5A7B" w:rsidRDefault="009E5A7B" w:rsidP="009E5A7B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</w:t>
            </w:r>
          </w:p>
        </w:tc>
        <w:tc>
          <w:tcPr>
            <w:tcW w:w="2223" w:type="dxa"/>
            <w:shd w:val="clear" w:color="auto" w:fill="A6A6A6" w:themeFill="background1" w:themeFillShade="A6"/>
          </w:tcPr>
          <w:p w14:paraId="7ECB87A4" w14:textId="77777777" w:rsidR="009E5A7B" w:rsidRPr="009E5A7B" w:rsidRDefault="009E5A7B" w:rsidP="00D1024F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Standard C</w:t>
            </w:r>
            <w:r w:rsidRPr="009E5A7B">
              <w:rPr>
                <w:rFonts w:ascii="Arial" w:hAnsi="Arial" w:cs="Arial"/>
                <w:b w:val="0"/>
                <w:sz w:val="20"/>
                <w:szCs w:val="20"/>
              </w:rPr>
              <w:t>olours</w:t>
            </w:r>
          </w:p>
        </w:tc>
        <w:tc>
          <w:tcPr>
            <w:tcW w:w="2199" w:type="dxa"/>
            <w:shd w:val="clear" w:color="auto" w:fill="A6A6A6" w:themeFill="background1" w:themeFillShade="A6"/>
          </w:tcPr>
          <w:p w14:paraId="611F9723" w14:textId="77777777" w:rsidR="009E5A7B" w:rsidRPr="009E5A7B" w:rsidRDefault="009E5A7B" w:rsidP="00D1024F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5A7B">
              <w:rPr>
                <w:rFonts w:ascii="Arial" w:hAnsi="Arial" w:cs="Arial"/>
                <w:b w:val="0"/>
                <w:sz w:val="20"/>
                <w:szCs w:val="20"/>
              </w:rPr>
              <w:t>Standard Sizes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14:paraId="13F5FD99" w14:textId="77777777" w:rsidR="009E5A7B" w:rsidRPr="009E5A7B" w:rsidRDefault="009E5A7B" w:rsidP="00D1024F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E5A7B">
              <w:rPr>
                <w:rFonts w:ascii="Arial" w:hAnsi="Arial" w:cs="Arial"/>
                <w:b w:val="0"/>
                <w:sz w:val="20"/>
                <w:szCs w:val="20"/>
              </w:rPr>
              <w:t>Standard Product Form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</w:p>
        </w:tc>
      </w:tr>
      <w:tr w:rsidR="009E5A7B" w14:paraId="125DD433" w14:textId="77777777" w:rsidTr="00C90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4C8E0AB7" w14:textId="77777777" w:rsidR="009E5A7B" w:rsidRPr="00EA6922" w:rsidRDefault="009E5A7B" w:rsidP="00D1024F">
            <w:pPr>
              <w:spacing w:after="2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A6922">
              <w:rPr>
                <w:rFonts w:ascii="Arial" w:hAnsi="Arial" w:cs="Arial"/>
                <w:b w:val="0"/>
                <w:sz w:val="16"/>
                <w:szCs w:val="16"/>
              </w:rPr>
              <w:t>PG100</w:t>
            </w:r>
          </w:p>
        </w:tc>
        <w:tc>
          <w:tcPr>
            <w:tcW w:w="2223" w:type="dxa"/>
          </w:tcPr>
          <w:p w14:paraId="003DE88C" w14:textId="77777777" w:rsidR="009E5A7B" w:rsidRPr="00EA6922" w:rsidRDefault="00EA6922" w:rsidP="00D1024F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A6922"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2199" w:type="dxa"/>
          </w:tcPr>
          <w:p w14:paraId="620F0312" w14:textId="77777777" w:rsidR="009E5A7B" w:rsidRPr="00EA6922" w:rsidRDefault="00EA6922" w:rsidP="00D1024F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A6922">
              <w:rPr>
                <w:rFonts w:ascii="Arial" w:hAnsi="Arial" w:cs="Arial"/>
                <w:sz w:val="16"/>
                <w:szCs w:val="16"/>
              </w:rPr>
              <w:t>3000x1500</w:t>
            </w:r>
          </w:p>
        </w:tc>
        <w:tc>
          <w:tcPr>
            <w:tcW w:w="1915" w:type="dxa"/>
          </w:tcPr>
          <w:p w14:paraId="74F5BCED" w14:textId="77777777" w:rsidR="009E5A7B" w:rsidRPr="00EA6922" w:rsidRDefault="009E5A7B" w:rsidP="00D1024F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A6922">
              <w:rPr>
                <w:rFonts w:ascii="Arial" w:hAnsi="Arial" w:cs="Arial"/>
                <w:sz w:val="16"/>
                <w:szCs w:val="16"/>
              </w:rPr>
              <w:t>Sheet</w:t>
            </w:r>
          </w:p>
        </w:tc>
      </w:tr>
      <w:tr w:rsidR="009E5A7B" w14:paraId="1E7F1743" w14:textId="77777777" w:rsidTr="00C90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14:paraId="34A264FF" w14:textId="77777777" w:rsidR="009E5A7B" w:rsidRPr="00EA6922" w:rsidRDefault="00EA6922" w:rsidP="00D1024F">
            <w:pPr>
              <w:spacing w:after="2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A6922">
              <w:rPr>
                <w:rFonts w:ascii="Arial" w:hAnsi="Arial" w:cs="Arial"/>
                <w:b w:val="0"/>
                <w:sz w:val="16"/>
                <w:szCs w:val="16"/>
              </w:rPr>
              <w:t>Polystone 3</w:t>
            </w:r>
            <w:r w:rsidR="009E5A7B" w:rsidRPr="00EA6922">
              <w:rPr>
                <w:rFonts w:ascii="Arial" w:hAnsi="Arial" w:cs="Arial"/>
                <w:b w:val="0"/>
                <w:sz w:val="16"/>
                <w:szCs w:val="16"/>
              </w:rPr>
              <w:t>00</w:t>
            </w:r>
          </w:p>
        </w:tc>
        <w:tc>
          <w:tcPr>
            <w:tcW w:w="2223" w:type="dxa"/>
          </w:tcPr>
          <w:p w14:paraId="55095484" w14:textId="77777777" w:rsidR="009E5A7B" w:rsidRPr="00EA6922" w:rsidRDefault="00EA6922" w:rsidP="00D1024F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A6922">
              <w:rPr>
                <w:rFonts w:ascii="Arial" w:hAnsi="Arial" w:cs="Arial"/>
                <w:sz w:val="16"/>
                <w:szCs w:val="16"/>
              </w:rPr>
              <w:t>Black, Natural, Yellow</w:t>
            </w:r>
          </w:p>
        </w:tc>
        <w:tc>
          <w:tcPr>
            <w:tcW w:w="2199" w:type="dxa"/>
          </w:tcPr>
          <w:p w14:paraId="61FC2989" w14:textId="77777777" w:rsidR="009E5A7B" w:rsidRPr="00EA6922" w:rsidRDefault="00EA6922" w:rsidP="00D1024F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A6922">
              <w:rPr>
                <w:rFonts w:ascii="Arial" w:hAnsi="Arial" w:cs="Arial"/>
                <w:sz w:val="16"/>
                <w:szCs w:val="16"/>
              </w:rPr>
              <w:t>3000x1500, 2000x1000,</w:t>
            </w:r>
          </w:p>
          <w:p w14:paraId="21D267F4" w14:textId="77777777" w:rsidR="00EA6922" w:rsidRPr="00EA6922" w:rsidRDefault="00EA6922" w:rsidP="00D1024F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A6922">
              <w:rPr>
                <w:rFonts w:ascii="Arial" w:hAnsi="Arial" w:cs="Arial"/>
                <w:sz w:val="16"/>
                <w:szCs w:val="16"/>
              </w:rPr>
              <w:t>2000x1500,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922">
              <w:rPr>
                <w:rFonts w:ascii="Arial" w:hAnsi="Arial" w:cs="Arial"/>
                <w:sz w:val="16"/>
                <w:szCs w:val="16"/>
              </w:rPr>
              <w:t>1500x1500,</w:t>
            </w:r>
          </w:p>
          <w:p w14:paraId="1FEAC6CC" w14:textId="77777777" w:rsidR="00EA6922" w:rsidRPr="00EA6922" w:rsidRDefault="00EA6922" w:rsidP="00D1024F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A6922">
              <w:rPr>
                <w:rFonts w:ascii="Arial" w:hAnsi="Arial" w:cs="Arial"/>
                <w:sz w:val="16"/>
                <w:szCs w:val="16"/>
              </w:rPr>
              <w:t>3000x1000,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922">
              <w:rPr>
                <w:rFonts w:ascii="Arial" w:hAnsi="Arial" w:cs="Arial"/>
                <w:sz w:val="16"/>
                <w:szCs w:val="16"/>
              </w:rPr>
              <w:t>1500x500,</w:t>
            </w:r>
          </w:p>
          <w:p w14:paraId="0CD93AB5" w14:textId="77777777" w:rsidR="00EA6922" w:rsidRPr="00EA6922" w:rsidRDefault="00EA6922" w:rsidP="00D1024F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A6922">
              <w:rPr>
                <w:rFonts w:ascii="Arial" w:hAnsi="Arial" w:cs="Arial"/>
                <w:sz w:val="16"/>
                <w:szCs w:val="16"/>
              </w:rPr>
              <w:t>15000x1000,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6922">
              <w:rPr>
                <w:rFonts w:ascii="Arial" w:hAnsi="Arial" w:cs="Arial"/>
                <w:sz w:val="16"/>
                <w:szCs w:val="16"/>
              </w:rPr>
              <w:t>3000x500</w:t>
            </w:r>
          </w:p>
        </w:tc>
        <w:tc>
          <w:tcPr>
            <w:tcW w:w="1915" w:type="dxa"/>
          </w:tcPr>
          <w:p w14:paraId="04ADE6E2" w14:textId="77777777" w:rsidR="009E5A7B" w:rsidRPr="00EA6922" w:rsidRDefault="009E5A7B" w:rsidP="00D1024F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A6922">
              <w:rPr>
                <w:rFonts w:ascii="Arial" w:hAnsi="Arial" w:cs="Arial"/>
                <w:sz w:val="16"/>
                <w:szCs w:val="16"/>
              </w:rPr>
              <w:t>Sheet, Rod</w:t>
            </w:r>
          </w:p>
        </w:tc>
      </w:tr>
    </w:tbl>
    <w:p w14:paraId="0CAC30CC" w14:textId="77777777" w:rsidR="009E5A7B" w:rsidRPr="00D1024F" w:rsidRDefault="009E5A7B" w:rsidP="00D1024F">
      <w:pPr>
        <w:spacing w:after="20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sectPr w:rsidR="009E5A7B" w:rsidRPr="00D1024F" w:rsidSect="003D2A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73E277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4E049E"/>
    <w:multiLevelType w:val="multilevel"/>
    <w:tmpl w:val="83A6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D303F"/>
    <w:multiLevelType w:val="multilevel"/>
    <w:tmpl w:val="2BD2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B70EC"/>
    <w:multiLevelType w:val="multilevel"/>
    <w:tmpl w:val="DDBC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94018"/>
    <w:multiLevelType w:val="multilevel"/>
    <w:tmpl w:val="41DAD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0465E"/>
    <w:multiLevelType w:val="multilevel"/>
    <w:tmpl w:val="8B408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5333C"/>
    <w:multiLevelType w:val="multilevel"/>
    <w:tmpl w:val="85F4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05730"/>
    <w:multiLevelType w:val="multilevel"/>
    <w:tmpl w:val="3C36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F"/>
    <w:rsid w:val="003D2AE3"/>
    <w:rsid w:val="005C0E0F"/>
    <w:rsid w:val="008658F2"/>
    <w:rsid w:val="009E5A7B"/>
    <w:rsid w:val="00C90750"/>
    <w:rsid w:val="00D1024F"/>
    <w:rsid w:val="00EA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39B2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24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1024F"/>
    <w:rPr>
      <w:color w:val="0000FF"/>
      <w:u w:val="single"/>
    </w:rPr>
  </w:style>
  <w:style w:type="table" w:styleId="TableGrid">
    <w:name w:val="Table Grid"/>
    <w:basedOn w:val="TableNormal"/>
    <w:uiPriority w:val="59"/>
    <w:rsid w:val="009E5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E5A7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E5A7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E5A7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9E5A7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C90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9075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C90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9075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C9075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24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1024F"/>
    <w:rPr>
      <w:color w:val="0000FF"/>
      <w:u w:val="single"/>
    </w:rPr>
  </w:style>
  <w:style w:type="table" w:styleId="TableGrid">
    <w:name w:val="Table Grid"/>
    <w:basedOn w:val="TableNormal"/>
    <w:uiPriority w:val="59"/>
    <w:rsid w:val="009E5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E5A7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E5A7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E5A7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9E5A7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C90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9075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C9075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9075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C9075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otmar.com.au/hdpe.html" TargetMode="External"/><Relationship Id="rId7" Type="http://schemas.openxmlformats.org/officeDocument/2006/relationships/hyperlink" Target="http://www.dotmar.com.au/hdp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402</Words>
  <Characters>2294</Characters>
  <Application>Microsoft Macintosh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Windsor</dc:creator>
  <cp:keywords/>
  <dc:description/>
  <cp:lastModifiedBy>Simone Windsor</cp:lastModifiedBy>
  <cp:revision>4</cp:revision>
  <dcterms:created xsi:type="dcterms:W3CDTF">2016-11-07T01:46:00Z</dcterms:created>
  <dcterms:modified xsi:type="dcterms:W3CDTF">2016-11-29T01:18:00Z</dcterms:modified>
</cp:coreProperties>
</file>